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FBC4C" w14:textId="059400E7" w:rsidR="0032798F" w:rsidRPr="0032798F" w:rsidRDefault="0032798F" w:rsidP="0032798F">
      <w:pPr>
        <w:pStyle w:val="Titolo"/>
        <w:rPr>
          <w:shd w:val="clear" w:color="auto" w:fill="FFFFFF"/>
        </w:rPr>
      </w:pPr>
      <w:bookmarkStart w:id="0" w:name="_Hlk160181081"/>
      <w:r>
        <w:rPr>
          <w:shd w:val="clear" w:color="auto" w:fill="FFFFFF"/>
        </w:rPr>
        <w:t>Istruzioni per inserimento del codice CUP in fattura</w:t>
      </w:r>
    </w:p>
    <w:p w14:paraId="293DEAD2" w14:textId="77777777" w:rsidR="0032798F" w:rsidRDefault="0032798F" w:rsidP="0032798F">
      <w:pPr>
        <w:rPr>
          <w:rFonts w:ascii="Titillium Web" w:hAnsi="Titillium Web"/>
          <w:color w:val="333333"/>
          <w:shd w:val="clear" w:color="auto" w:fill="FFFFFF"/>
        </w:rPr>
      </w:pPr>
    </w:p>
    <w:p w14:paraId="3499750E" w14:textId="61CF0678" w:rsidR="0032798F" w:rsidRPr="0032798F" w:rsidRDefault="0032798F" w:rsidP="000425B8">
      <w:pPr>
        <w:jc w:val="both"/>
        <w:rPr>
          <w:rFonts w:ascii="Titillium Web" w:hAnsi="Titillium Web"/>
          <w:color w:val="333333"/>
          <w:shd w:val="clear" w:color="auto" w:fill="FFFFFF"/>
        </w:rPr>
      </w:pPr>
      <w:r w:rsidRPr="0032798F">
        <w:rPr>
          <w:rFonts w:ascii="Titillium Web" w:hAnsi="Titillium Web"/>
          <w:color w:val="333333"/>
          <w:shd w:val="clear" w:color="auto" w:fill="FFFFFF"/>
        </w:rPr>
        <w:t xml:space="preserve">Le istruzioni per inserimento del </w:t>
      </w:r>
      <w:r>
        <w:rPr>
          <w:rFonts w:ascii="Titillium Web" w:hAnsi="Titillium Web"/>
          <w:color w:val="333333"/>
          <w:shd w:val="clear" w:color="auto" w:fill="FFFFFF"/>
        </w:rPr>
        <w:t xml:space="preserve">codice </w:t>
      </w:r>
      <w:r w:rsidRPr="0032798F">
        <w:rPr>
          <w:rFonts w:ascii="Titillium Web" w:hAnsi="Titillium Web"/>
          <w:color w:val="333333"/>
          <w:shd w:val="clear" w:color="auto" w:fill="FFFFFF"/>
        </w:rPr>
        <w:t xml:space="preserve">CUP in fattura recepiscono il contenuto del D.L. n.13/2023, convertito con modificazioni </w:t>
      </w:r>
      <w:r w:rsidR="00E81E7A">
        <w:rPr>
          <w:rFonts w:ascii="Titillium Web" w:hAnsi="Titillium Web"/>
          <w:color w:val="333333"/>
          <w:shd w:val="clear" w:color="auto" w:fill="FFFFFF"/>
        </w:rPr>
        <w:t>dalla Legge n.</w:t>
      </w:r>
      <w:r w:rsidRPr="0032798F">
        <w:rPr>
          <w:rFonts w:ascii="Titillium Web" w:hAnsi="Titillium Web"/>
          <w:color w:val="333333"/>
          <w:shd w:val="clear" w:color="auto" w:fill="FFFFFF"/>
        </w:rPr>
        <w:t xml:space="preserve"> 41/2023 e la successiva sostituzione del comma 7 dell’art. 5 della citata Legge, operata dall’art. 1, comma 479, della L. n. 213/2023 (Legge di bilancio 2024) in vigore dal </w:t>
      </w:r>
      <w:proofErr w:type="gramStart"/>
      <w:r w:rsidRPr="0032798F">
        <w:rPr>
          <w:rFonts w:ascii="Titillium Web" w:hAnsi="Titillium Web"/>
          <w:color w:val="333333"/>
          <w:shd w:val="clear" w:color="auto" w:fill="FFFFFF"/>
        </w:rPr>
        <w:t>1 gennaio</w:t>
      </w:r>
      <w:proofErr w:type="gramEnd"/>
      <w:r w:rsidRPr="0032798F">
        <w:rPr>
          <w:rFonts w:ascii="Titillium Web" w:hAnsi="Titillium Web"/>
          <w:color w:val="333333"/>
          <w:shd w:val="clear" w:color="auto" w:fill="FFFFFF"/>
        </w:rPr>
        <w:t xml:space="preserve"> 2024.</w:t>
      </w:r>
    </w:p>
    <w:p w14:paraId="3966B2CD" w14:textId="77777777" w:rsidR="000425B8" w:rsidRDefault="0032798F" w:rsidP="000425B8">
      <w:pPr>
        <w:jc w:val="both"/>
      </w:pPr>
      <w:r w:rsidRPr="0032798F">
        <w:rPr>
          <w:rFonts w:ascii="Titillium Web" w:hAnsi="Titillium Web"/>
          <w:color w:val="333333"/>
          <w:shd w:val="clear" w:color="auto" w:fill="FFFFFF"/>
        </w:rPr>
        <w:t>Tali istruzioni prevedono alcune importanti novità in merito all’obbligo di apposizione di dicitura del Codice Unico di Progetto (codice CUP) sulle fatture da presentare per la rendicontazione dei bandi di concessione di contributi.</w:t>
      </w:r>
      <w:r>
        <w:t xml:space="preserve"> </w:t>
      </w:r>
    </w:p>
    <w:p w14:paraId="7E2C78DE" w14:textId="33E63EEF" w:rsidR="0032798F" w:rsidRDefault="0032798F" w:rsidP="000425B8">
      <w:pPr>
        <w:jc w:val="both"/>
      </w:pPr>
    </w:p>
    <w:p w14:paraId="09A0549E" w14:textId="079B1E0F" w:rsidR="0032798F" w:rsidRPr="00ED5941" w:rsidRDefault="0032798F" w:rsidP="00ED5941">
      <w:pPr>
        <w:pStyle w:val="Paragrafoelenco"/>
        <w:numPr>
          <w:ilvl w:val="0"/>
          <w:numId w:val="3"/>
        </w:numPr>
        <w:rPr>
          <w:b/>
          <w:bCs/>
        </w:rPr>
      </w:pPr>
      <w:r>
        <w:rPr>
          <w:b/>
          <w:bCs/>
        </w:rPr>
        <w:t>Casistica delle fatture e indicazioni sull’inserimento del CUP</w:t>
      </w:r>
      <w:r>
        <w:rPr>
          <w:b/>
          <w:bCs/>
        </w:rPr>
        <w:br/>
      </w:r>
    </w:p>
    <w:p w14:paraId="66DAD48A" w14:textId="29B41F49" w:rsidR="0032798F" w:rsidRPr="008F36AC" w:rsidRDefault="0032798F" w:rsidP="004037AA">
      <w:pPr>
        <w:pStyle w:val="Paragrafoelenco"/>
        <w:numPr>
          <w:ilvl w:val="0"/>
          <w:numId w:val="1"/>
        </w:numPr>
        <w:jc w:val="both"/>
        <w:rPr>
          <w:rFonts w:ascii="Titillium Web" w:hAnsi="Titillium Web"/>
          <w:color w:val="333333"/>
          <w:shd w:val="clear" w:color="auto" w:fill="FFFFFF"/>
        </w:rPr>
      </w:pPr>
      <w:r w:rsidRPr="008F36AC">
        <w:rPr>
          <w:rFonts w:ascii="Titillium Web" w:hAnsi="Titillium Web"/>
          <w:color w:val="333333"/>
          <w:shd w:val="clear" w:color="auto" w:fill="FFFFFF"/>
        </w:rPr>
        <w:t xml:space="preserve">Per le fatture </w:t>
      </w:r>
      <w:r w:rsidRPr="008F36AC">
        <w:rPr>
          <w:rFonts w:ascii="Titillium Web" w:hAnsi="Titillium Web"/>
          <w:b/>
          <w:bCs/>
          <w:color w:val="333333"/>
          <w:shd w:val="clear" w:color="auto" w:fill="FFFFFF"/>
        </w:rPr>
        <w:t xml:space="preserve">a partire dal 1° giugno 2023, </w:t>
      </w:r>
      <w:r w:rsidRPr="008F36AC">
        <w:rPr>
          <w:rFonts w:ascii="Titillium Web" w:hAnsi="Titillium Web"/>
          <w:color w:val="333333"/>
          <w:shd w:val="clear" w:color="auto" w:fill="FFFFFF"/>
        </w:rPr>
        <w:t xml:space="preserve">relative a </w:t>
      </w:r>
      <w:r w:rsidRPr="008F36AC">
        <w:rPr>
          <w:rFonts w:ascii="Titillium Web" w:hAnsi="Titillium Web"/>
          <w:b/>
          <w:bCs/>
          <w:color w:val="333333"/>
          <w:shd w:val="clear" w:color="auto" w:fill="FFFFFF"/>
        </w:rPr>
        <w:t xml:space="preserve">domande di contributo presentate </w:t>
      </w:r>
      <w:r w:rsidRPr="008F36AC">
        <w:rPr>
          <w:rFonts w:ascii="Titillium Web" w:hAnsi="Titillium Web"/>
          <w:b/>
          <w:bCs/>
          <w:i/>
          <w:iCs/>
          <w:color w:val="333333"/>
          <w:shd w:val="clear" w:color="auto" w:fill="FFFFFF"/>
        </w:rPr>
        <w:t>a partire dal</w:t>
      </w:r>
      <w:r w:rsidRPr="008F36AC">
        <w:rPr>
          <w:rFonts w:ascii="Titillium Web" w:hAnsi="Titillium Web"/>
          <w:b/>
          <w:bCs/>
          <w:color w:val="333333"/>
          <w:shd w:val="clear" w:color="auto" w:fill="FFFFFF"/>
        </w:rPr>
        <w:t xml:space="preserve"> 22 aprile 2023 </w:t>
      </w:r>
      <w:r w:rsidRPr="008F36AC">
        <w:rPr>
          <w:rFonts w:ascii="Titillium Web" w:hAnsi="Titillium Web"/>
          <w:color w:val="333333"/>
          <w:shd w:val="clear" w:color="auto" w:fill="FFFFFF"/>
        </w:rPr>
        <w:t>e relative a spese sostenute</w:t>
      </w:r>
      <w:r w:rsidRPr="008F36AC">
        <w:rPr>
          <w:rFonts w:ascii="Titillium Web" w:hAnsi="Titillium Web"/>
          <w:b/>
          <w:bCs/>
          <w:color w:val="333333"/>
          <w:shd w:val="clear" w:color="auto" w:fill="FFFFFF"/>
        </w:rPr>
        <w:t xml:space="preserve"> </w:t>
      </w:r>
      <w:r w:rsidRPr="008F36AC">
        <w:rPr>
          <w:rFonts w:ascii="Titillium Web" w:hAnsi="Titillium Web"/>
          <w:b/>
          <w:bCs/>
          <w:i/>
          <w:iCs/>
          <w:color w:val="333333"/>
          <w:shd w:val="clear" w:color="auto" w:fill="FFFFFF"/>
        </w:rPr>
        <w:t>dopo</w:t>
      </w:r>
      <w:r w:rsidRPr="008F36AC">
        <w:rPr>
          <w:rFonts w:ascii="Titillium Web" w:hAnsi="Titillium Web"/>
          <w:b/>
          <w:bCs/>
          <w:color w:val="333333"/>
          <w:shd w:val="clear" w:color="auto" w:fill="FFFFFF"/>
        </w:rPr>
        <w:t xml:space="preserve"> la determina di concessione</w:t>
      </w:r>
      <w:r w:rsidRPr="008F36AC">
        <w:rPr>
          <w:rFonts w:ascii="Titillium Web" w:hAnsi="Titillium Web"/>
          <w:color w:val="333333"/>
          <w:shd w:val="clear" w:color="auto" w:fill="FFFFFF"/>
        </w:rPr>
        <w:t xml:space="preserve">, dovranno contenere </w:t>
      </w:r>
      <w:r w:rsidRPr="008F36AC">
        <w:rPr>
          <w:rFonts w:ascii="Titillium Web" w:hAnsi="Titillium Web"/>
          <w:color w:val="333333"/>
          <w:u w:val="single"/>
          <w:shd w:val="clear" w:color="auto" w:fill="FFFFFF"/>
        </w:rPr>
        <w:t>obbligatoriamente</w:t>
      </w:r>
      <w:r w:rsidRPr="008F36AC">
        <w:rPr>
          <w:rFonts w:ascii="Titillium Web" w:hAnsi="Titillium Web"/>
          <w:color w:val="333333"/>
          <w:shd w:val="clear" w:color="auto" w:fill="FFFFFF"/>
        </w:rPr>
        <w:t xml:space="preserve"> il codice CUP, attribuito all’impresa con la determina di concessione (nella tabella Allegato A della </w:t>
      </w:r>
      <w:r w:rsidR="00E81E7A">
        <w:rPr>
          <w:rFonts w:ascii="Titillium Web" w:hAnsi="Titillium Web"/>
          <w:color w:val="333333"/>
          <w:shd w:val="clear" w:color="auto" w:fill="FFFFFF"/>
        </w:rPr>
        <w:t>D</w:t>
      </w:r>
      <w:r w:rsidRPr="008F36AC">
        <w:rPr>
          <w:rFonts w:ascii="Titillium Web" w:hAnsi="Titillium Web"/>
          <w:color w:val="333333"/>
          <w:shd w:val="clear" w:color="auto" w:fill="FFFFFF"/>
        </w:rPr>
        <w:t>etermina di concessione, sulla riga relativa al contributo concesso all’impresa).</w:t>
      </w:r>
    </w:p>
    <w:p w14:paraId="7418933D" w14:textId="77777777" w:rsidR="0032798F" w:rsidRDefault="0032798F" w:rsidP="0032798F">
      <w:pPr>
        <w:pStyle w:val="Paragrafoelenco"/>
        <w:numPr>
          <w:ilvl w:val="0"/>
          <w:numId w:val="1"/>
        </w:numPr>
        <w:rPr>
          <w:rFonts w:ascii="Titillium Web" w:hAnsi="Titillium Web"/>
          <w:color w:val="333333"/>
          <w:shd w:val="clear" w:color="auto" w:fill="FFFFFF"/>
        </w:rPr>
      </w:pPr>
      <w:r w:rsidRPr="00C4251B">
        <w:rPr>
          <w:rFonts w:ascii="Titillium Web" w:hAnsi="Titillium Web"/>
          <w:color w:val="333333"/>
          <w:shd w:val="clear" w:color="auto" w:fill="FFFFFF"/>
        </w:rPr>
        <w:t xml:space="preserve">Per le fatture </w:t>
      </w:r>
      <w:r w:rsidRPr="00C4251B">
        <w:rPr>
          <w:rFonts w:ascii="Titillium Web" w:hAnsi="Titillium Web"/>
          <w:b/>
          <w:bCs/>
          <w:color w:val="333333"/>
          <w:shd w:val="clear" w:color="auto" w:fill="FFFFFF"/>
        </w:rPr>
        <w:t>a partire dal 1</w:t>
      </w:r>
      <w:r>
        <w:rPr>
          <w:rFonts w:ascii="Titillium Web" w:hAnsi="Titillium Web"/>
          <w:b/>
          <w:bCs/>
          <w:color w:val="333333"/>
          <w:shd w:val="clear" w:color="auto" w:fill="FFFFFF"/>
        </w:rPr>
        <w:t>° giugno</w:t>
      </w:r>
      <w:r w:rsidRPr="00C4251B">
        <w:rPr>
          <w:rFonts w:ascii="Titillium Web" w:hAnsi="Titillium Web"/>
          <w:b/>
          <w:bCs/>
          <w:color w:val="333333"/>
          <w:shd w:val="clear" w:color="auto" w:fill="FFFFFF"/>
        </w:rPr>
        <w:t xml:space="preserve"> 2023</w:t>
      </w:r>
      <w:r>
        <w:rPr>
          <w:rFonts w:ascii="Titillium Web" w:hAnsi="Titillium Web"/>
          <w:b/>
          <w:bCs/>
          <w:color w:val="333333"/>
          <w:shd w:val="clear" w:color="auto" w:fill="FFFFFF"/>
        </w:rPr>
        <w:t xml:space="preserve">, </w:t>
      </w:r>
      <w:r w:rsidRPr="00C4251B">
        <w:rPr>
          <w:rFonts w:ascii="Titillium Web" w:hAnsi="Titillium Web"/>
          <w:color w:val="333333"/>
          <w:shd w:val="clear" w:color="auto" w:fill="FFFFFF"/>
        </w:rPr>
        <w:t xml:space="preserve">relative a </w:t>
      </w:r>
      <w:r w:rsidRPr="00C4251B">
        <w:rPr>
          <w:rFonts w:ascii="Titillium Web" w:hAnsi="Titillium Web"/>
          <w:b/>
          <w:bCs/>
          <w:color w:val="333333"/>
          <w:shd w:val="clear" w:color="auto" w:fill="FFFFFF"/>
        </w:rPr>
        <w:t>domande</w:t>
      </w:r>
      <w:r>
        <w:rPr>
          <w:rFonts w:ascii="Titillium Web" w:hAnsi="Titillium Web"/>
          <w:b/>
          <w:bCs/>
          <w:color w:val="333333"/>
          <w:shd w:val="clear" w:color="auto" w:fill="FFFFFF"/>
        </w:rPr>
        <w:t xml:space="preserve"> di contributo</w:t>
      </w:r>
      <w:r w:rsidRPr="00C4251B">
        <w:rPr>
          <w:rFonts w:ascii="Titillium Web" w:hAnsi="Titillium Web"/>
          <w:b/>
          <w:bCs/>
          <w:color w:val="333333"/>
          <w:shd w:val="clear" w:color="auto" w:fill="FFFFFF"/>
        </w:rPr>
        <w:t xml:space="preserve"> presentate </w:t>
      </w:r>
      <w:r w:rsidRPr="00C1194A">
        <w:rPr>
          <w:rFonts w:ascii="Titillium Web" w:hAnsi="Titillium Web"/>
          <w:b/>
          <w:bCs/>
          <w:i/>
          <w:iCs/>
          <w:color w:val="333333"/>
          <w:shd w:val="clear" w:color="auto" w:fill="FFFFFF"/>
        </w:rPr>
        <w:t>a partire dal</w:t>
      </w:r>
      <w:r w:rsidRPr="00C4251B">
        <w:rPr>
          <w:rFonts w:ascii="Titillium Web" w:hAnsi="Titillium Web"/>
          <w:b/>
          <w:bCs/>
          <w:color w:val="333333"/>
          <w:shd w:val="clear" w:color="auto" w:fill="FFFFFF"/>
        </w:rPr>
        <w:t xml:space="preserve"> 22 aprile 2023</w:t>
      </w:r>
      <w:r>
        <w:rPr>
          <w:rFonts w:ascii="Titillium Web" w:hAnsi="Titillium Web"/>
          <w:b/>
          <w:bCs/>
          <w:color w:val="333333"/>
          <w:shd w:val="clear" w:color="auto" w:fill="FFFFFF"/>
        </w:rPr>
        <w:t xml:space="preserve"> </w:t>
      </w:r>
      <w:r w:rsidRPr="00370712">
        <w:rPr>
          <w:rFonts w:ascii="Titillium Web" w:hAnsi="Titillium Web"/>
          <w:color w:val="333333"/>
          <w:shd w:val="clear" w:color="auto" w:fill="FFFFFF"/>
        </w:rPr>
        <w:t xml:space="preserve">e relative a spese sostenute </w:t>
      </w:r>
      <w:r w:rsidRPr="00C1194A">
        <w:rPr>
          <w:rFonts w:ascii="Titillium Web" w:hAnsi="Titillium Web"/>
          <w:b/>
          <w:bCs/>
          <w:i/>
          <w:iCs/>
          <w:color w:val="333333"/>
          <w:shd w:val="clear" w:color="auto" w:fill="FFFFFF"/>
        </w:rPr>
        <w:t>prima</w:t>
      </w:r>
      <w:r w:rsidRPr="00C4251B">
        <w:rPr>
          <w:rFonts w:ascii="Titillium Web" w:hAnsi="Titillium Web"/>
          <w:b/>
          <w:bCs/>
          <w:color w:val="333333"/>
          <w:shd w:val="clear" w:color="auto" w:fill="FFFFFF"/>
        </w:rPr>
        <w:t xml:space="preserve"> </w:t>
      </w:r>
      <w:r>
        <w:rPr>
          <w:rFonts w:ascii="Titillium Web" w:hAnsi="Titillium Web"/>
          <w:b/>
          <w:bCs/>
          <w:color w:val="333333"/>
          <w:shd w:val="clear" w:color="auto" w:fill="FFFFFF"/>
        </w:rPr>
        <w:t xml:space="preserve">della determina di concessione, emesse da fornitori </w:t>
      </w:r>
      <w:r w:rsidRPr="00DB452D">
        <w:rPr>
          <w:rFonts w:ascii="Titillium Web" w:hAnsi="Titillium Web"/>
          <w:b/>
          <w:bCs/>
          <w:color w:val="333333"/>
          <w:u w:val="single"/>
          <w:shd w:val="clear" w:color="auto" w:fill="FFFFFF"/>
        </w:rPr>
        <w:t>nazionali</w:t>
      </w:r>
      <w:r w:rsidRPr="00C4251B">
        <w:rPr>
          <w:rFonts w:ascii="Titillium Web" w:hAnsi="Titillium Web"/>
          <w:color w:val="333333"/>
          <w:shd w:val="clear" w:color="auto" w:fill="FFFFFF"/>
        </w:rPr>
        <w:t xml:space="preserve">, l’impresa dovrà </w:t>
      </w:r>
      <w:r>
        <w:rPr>
          <w:rFonts w:ascii="Titillium Web" w:hAnsi="Titillium Web"/>
          <w:color w:val="333333"/>
          <w:shd w:val="clear" w:color="auto" w:fill="FFFFFF"/>
        </w:rPr>
        <w:t>alternativamente provvedere come segue:</w:t>
      </w:r>
    </w:p>
    <w:p w14:paraId="6DD57495" w14:textId="77777777" w:rsidR="0032798F" w:rsidRDefault="0032798F" w:rsidP="0032798F">
      <w:pPr>
        <w:pStyle w:val="Paragrafoelenco"/>
        <w:numPr>
          <w:ilvl w:val="0"/>
          <w:numId w:val="2"/>
        </w:numPr>
        <w:rPr>
          <w:rFonts w:ascii="Titillium Web" w:hAnsi="Titillium Web"/>
          <w:color w:val="333333"/>
          <w:shd w:val="clear" w:color="auto" w:fill="FFFFFF"/>
        </w:rPr>
      </w:pPr>
      <w:r w:rsidRPr="003E123C">
        <w:rPr>
          <w:rFonts w:ascii="Titillium Web" w:hAnsi="Titillium Web"/>
          <w:b/>
          <w:bCs/>
          <w:color w:val="333333"/>
          <w:shd w:val="clear" w:color="auto" w:fill="FFFFFF"/>
        </w:rPr>
        <w:t>Realizzare un’integrazione elettronica da unire alla fattura originale</w:t>
      </w:r>
      <w:r w:rsidRPr="003E123C">
        <w:rPr>
          <w:rFonts w:ascii="Titillium Web" w:hAnsi="Titillium Web"/>
          <w:color w:val="333333"/>
          <w:shd w:val="clear" w:color="auto" w:fill="FFFFFF"/>
        </w:rPr>
        <w:t>, secondo le modalità indicate dalla circolare dell’Agenzia delle entrate n.14/E del 2019</w:t>
      </w:r>
      <w:r>
        <w:rPr>
          <w:rFonts w:ascii="Titillium Web" w:hAnsi="Titillium Web"/>
          <w:color w:val="333333"/>
          <w:shd w:val="clear" w:color="auto" w:fill="FFFFFF"/>
        </w:rPr>
        <w:t xml:space="preserve"> (vedi la sezione “2. Indicazioni operative” di questa pagina)</w:t>
      </w:r>
      <w:r w:rsidRPr="003E123C">
        <w:rPr>
          <w:rFonts w:ascii="Titillium Web" w:hAnsi="Titillium Web"/>
          <w:color w:val="333333"/>
          <w:shd w:val="clear" w:color="auto" w:fill="FFFFFF"/>
        </w:rPr>
        <w:t xml:space="preserve">. </w:t>
      </w:r>
      <w:r>
        <w:rPr>
          <w:rFonts w:ascii="Titillium Web" w:hAnsi="Titillium Web"/>
          <w:color w:val="333333"/>
          <w:shd w:val="clear" w:color="auto" w:fill="FFFFFF"/>
        </w:rPr>
        <w:br/>
      </w:r>
      <w:r w:rsidRPr="00C209C3">
        <w:rPr>
          <w:rFonts w:ascii="Titillium Web" w:hAnsi="Titillium Web"/>
          <w:color w:val="333333"/>
          <w:shd w:val="clear" w:color="auto" w:fill="FFFFFF"/>
        </w:rPr>
        <w:t xml:space="preserve">In fase di rendicontazione, </w:t>
      </w:r>
      <w:r>
        <w:rPr>
          <w:rFonts w:ascii="Titillium Web" w:hAnsi="Titillium Web"/>
          <w:color w:val="333333"/>
          <w:shd w:val="clear" w:color="auto" w:fill="FFFFFF"/>
        </w:rPr>
        <w:t>dovranno</w:t>
      </w:r>
      <w:r w:rsidRPr="00C209C3">
        <w:rPr>
          <w:rFonts w:ascii="Titillium Web" w:hAnsi="Titillium Web"/>
          <w:color w:val="333333"/>
          <w:shd w:val="clear" w:color="auto" w:fill="FFFFFF"/>
        </w:rPr>
        <w:t xml:space="preserve"> essere </w:t>
      </w:r>
      <w:r>
        <w:rPr>
          <w:rFonts w:ascii="Titillium Web" w:hAnsi="Titillium Web"/>
          <w:color w:val="333333"/>
          <w:shd w:val="clear" w:color="auto" w:fill="FFFFFF"/>
        </w:rPr>
        <w:t xml:space="preserve">allegati sia la </w:t>
      </w:r>
      <w:r w:rsidRPr="00C209C3">
        <w:rPr>
          <w:rFonts w:ascii="Titillium Web" w:hAnsi="Titillium Web"/>
          <w:color w:val="333333"/>
          <w:shd w:val="clear" w:color="auto" w:fill="FFFFFF"/>
        </w:rPr>
        <w:t>fattur</w:t>
      </w:r>
      <w:r>
        <w:rPr>
          <w:rFonts w:ascii="Titillium Web" w:hAnsi="Titillium Web"/>
          <w:color w:val="333333"/>
          <w:shd w:val="clear" w:color="auto" w:fill="FFFFFF"/>
        </w:rPr>
        <w:t xml:space="preserve">a originale sia il documento integrativo (autofattura integrativa trasmessa al </w:t>
      </w:r>
      <w:proofErr w:type="spellStart"/>
      <w:r>
        <w:rPr>
          <w:rFonts w:ascii="Titillium Web" w:hAnsi="Titillium Web"/>
          <w:color w:val="333333"/>
          <w:shd w:val="clear" w:color="auto" w:fill="FFFFFF"/>
        </w:rPr>
        <w:t>SdI</w:t>
      </w:r>
      <w:proofErr w:type="spellEnd"/>
      <w:r>
        <w:rPr>
          <w:rFonts w:ascii="Titillium Web" w:hAnsi="Titillium Web"/>
          <w:color w:val="333333"/>
          <w:shd w:val="clear" w:color="auto" w:fill="FFFFFF"/>
        </w:rPr>
        <w:t>)</w:t>
      </w:r>
      <w:r w:rsidRPr="00C209C3">
        <w:rPr>
          <w:rFonts w:ascii="Titillium Web" w:hAnsi="Titillium Web"/>
          <w:color w:val="333333"/>
          <w:shd w:val="clear" w:color="auto" w:fill="FFFFFF"/>
        </w:rPr>
        <w:t>.</w:t>
      </w:r>
    </w:p>
    <w:p w14:paraId="30E667D9" w14:textId="77777777" w:rsidR="0032798F" w:rsidRPr="003E123C" w:rsidRDefault="0032798F" w:rsidP="0032798F">
      <w:pPr>
        <w:pStyle w:val="Paragrafoelenco"/>
        <w:ind w:left="1440"/>
        <w:rPr>
          <w:rFonts w:ascii="Titillium Web" w:hAnsi="Titillium Web"/>
          <w:color w:val="333333"/>
          <w:shd w:val="clear" w:color="auto" w:fill="FFFFFF"/>
        </w:rPr>
      </w:pPr>
      <w:r w:rsidRPr="003E123C">
        <w:rPr>
          <w:rFonts w:ascii="Titillium Web" w:hAnsi="Titillium Web"/>
          <w:i/>
          <w:iCs/>
          <w:color w:val="333333"/>
          <w:shd w:val="clear" w:color="auto" w:fill="FFFFFF"/>
        </w:rPr>
        <w:t>oppure</w:t>
      </w:r>
    </w:p>
    <w:p w14:paraId="122AC315" w14:textId="77777777" w:rsidR="0032798F" w:rsidRDefault="0032798F" w:rsidP="0032798F">
      <w:pPr>
        <w:pStyle w:val="Paragrafoelenco"/>
        <w:numPr>
          <w:ilvl w:val="0"/>
          <w:numId w:val="2"/>
        </w:numPr>
        <w:rPr>
          <w:rFonts w:ascii="Titillium Web" w:hAnsi="Titillium Web"/>
          <w:color w:val="333333"/>
          <w:shd w:val="clear" w:color="auto" w:fill="FFFFFF"/>
        </w:rPr>
      </w:pPr>
      <w:r>
        <w:rPr>
          <w:rFonts w:ascii="Titillium Web" w:hAnsi="Titillium Web"/>
          <w:b/>
          <w:bCs/>
          <w:color w:val="333333"/>
          <w:shd w:val="clear" w:color="auto" w:fill="FFFFFF"/>
        </w:rPr>
        <w:t xml:space="preserve">Emettere una nota di credito </w:t>
      </w:r>
      <w:r>
        <w:rPr>
          <w:rFonts w:ascii="Titillium Web" w:hAnsi="Titillium Web"/>
          <w:color w:val="333333"/>
          <w:shd w:val="clear" w:color="auto" w:fill="FFFFFF"/>
        </w:rPr>
        <w:t xml:space="preserve">volta ad annullare la fattura che non contiene il codice CUP e </w:t>
      </w:r>
      <w:r w:rsidRPr="003E123C">
        <w:rPr>
          <w:rFonts w:ascii="Titillium Web" w:hAnsi="Titillium Web"/>
          <w:b/>
          <w:bCs/>
          <w:color w:val="333333"/>
          <w:shd w:val="clear" w:color="auto" w:fill="FFFFFF"/>
        </w:rPr>
        <w:t>richiedere al fornitore una successiva emissione di nuova fattura</w:t>
      </w:r>
      <w:r>
        <w:rPr>
          <w:rFonts w:ascii="Titillium Web" w:hAnsi="Titillium Web"/>
          <w:b/>
          <w:bCs/>
          <w:color w:val="333333"/>
          <w:shd w:val="clear" w:color="auto" w:fill="FFFFFF"/>
        </w:rPr>
        <w:t xml:space="preserve"> </w:t>
      </w:r>
      <w:r>
        <w:rPr>
          <w:rFonts w:ascii="Titillium Web" w:hAnsi="Titillium Web"/>
          <w:color w:val="333333"/>
          <w:shd w:val="clear" w:color="auto" w:fill="FFFFFF"/>
        </w:rPr>
        <w:t xml:space="preserve">contenente il codice CUP. </w:t>
      </w:r>
      <w:r>
        <w:rPr>
          <w:rFonts w:ascii="Titillium Web" w:hAnsi="Titillium Web"/>
          <w:color w:val="333333"/>
          <w:shd w:val="clear" w:color="auto" w:fill="FFFFFF"/>
        </w:rPr>
        <w:br/>
        <w:t>In fase di rendicontazione, dovranno essere allegati la fattura originale, la nota di credito e la fattura di nuova emissione.</w:t>
      </w:r>
    </w:p>
    <w:p w14:paraId="09101B8A" w14:textId="77777777" w:rsidR="00ED5941" w:rsidRPr="003E123C" w:rsidRDefault="00ED5941" w:rsidP="00ED5941">
      <w:pPr>
        <w:pStyle w:val="Paragrafoelenco"/>
        <w:ind w:left="1440"/>
        <w:rPr>
          <w:rFonts w:ascii="Titillium Web" w:hAnsi="Titillium Web"/>
          <w:color w:val="333333"/>
          <w:shd w:val="clear" w:color="auto" w:fill="FFFFFF"/>
        </w:rPr>
      </w:pPr>
    </w:p>
    <w:p w14:paraId="0D8AA88A" w14:textId="77777777" w:rsidR="0032798F" w:rsidRDefault="0032798F" w:rsidP="0032798F">
      <w:pPr>
        <w:pStyle w:val="Paragrafoelenco"/>
        <w:numPr>
          <w:ilvl w:val="0"/>
          <w:numId w:val="1"/>
        </w:numPr>
        <w:rPr>
          <w:rFonts w:ascii="Titillium Web" w:hAnsi="Titillium Web"/>
          <w:color w:val="333333"/>
          <w:shd w:val="clear" w:color="auto" w:fill="FFFFFF"/>
        </w:rPr>
      </w:pPr>
      <w:r w:rsidRPr="00C4251B">
        <w:rPr>
          <w:rFonts w:ascii="Titillium Web" w:hAnsi="Titillium Web"/>
          <w:color w:val="333333"/>
          <w:shd w:val="clear" w:color="auto" w:fill="FFFFFF"/>
        </w:rPr>
        <w:t xml:space="preserve">Per le fatture </w:t>
      </w:r>
      <w:r w:rsidRPr="00C4251B">
        <w:rPr>
          <w:rFonts w:ascii="Titillium Web" w:hAnsi="Titillium Web"/>
          <w:b/>
          <w:bCs/>
          <w:color w:val="333333"/>
          <w:shd w:val="clear" w:color="auto" w:fill="FFFFFF"/>
        </w:rPr>
        <w:t>a partire dal 1</w:t>
      </w:r>
      <w:r>
        <w:rPr>
          <w:rFonts w:ascii="Titillium Web" w:hAnsi="Titillium Web"/>
          <w:b/>
          <w:bCs/>
          <w:color w:val="333333"/>
          <w:shd w:val="clear" w:color="auto" w:fill="FFFFFF"/>
        </w:rPr>
        <w:t>° giugno</w:t>
      </w:r>
      <w:r w:rsidRPr="00C4251B">
        <w:rPr>
          <w:rFonts w:ascii="Titillium Web" w:hAnsi="Titillium Web"/>
          <w:b/>
          <w:bCs/>
          <w:color w:val="333333"/>
          <w:shd w:val="clear" w:color="auto" w:fill="FFFFFF"/>
        </w:rPr>
        <w:t xml:space="preserve"> 2023</w:t>
      </w:r>
      <w:r>
        <w:rPr>
          <w:rFonts w:ascii="Titillium Web" w:hAnsi="Titillium Web"/>
          <w:b/>
          <w:bCs/>
          <w:color w:val="333333"/>
          <w:shd w:val="clear" w:color="auto" w:fill="FFFFFF"/>
        </w:rPr>
        <w:t xml:space="preserve">, </w:t>
      </w:r>
      <w:r w:rsidRPr="00C4251B">
        <w:rPr>
          <w:rFonts w:ascii="Titillium Web" w:hAnsi="Titillium Web"/>
          <w:color w:val="333333"/>
          <w:shd w:val="clear" w:color="auto" w:fill="FFFFFF"/>
        </w:rPr>
        <w:t xml:space="preserve">relative a </w:t>
      </w:r>
      <w:r w:rsidRPr="00C4251B">
        <w:rPr>
          <w:rFonts w:ascii="Titillium Web" w:hAnsi="Titillium Web"/>
          <w:b/>
          <w:bCs/>
          <w:color w:val="333333"/>
          <w:shd w:val="clear" w:color="auto" w:fill="FFFFFF"/>
        </w:rPr>
        <w:t>domande</w:t>
      </w:r>
      <w:r>
        <w:rPr>
          <w:rFonts w:ascii="Titillium Web" w:hAnsi="Titillium Web"/>
          <w:b/>
          <w:bCs/>
          <w:color w:val="333333"/>
          <w:shd w:val="clear" w:color="auto" w:fill="FFFFFF"/>
        </w:rPr>
        <w:t xml:space="preserve"> di contributo</w:t>
      </w:r>
      <w:r w:rsidRPr="00C4251B">
        <w:rPr>
          <w:rFonts w:ascii="Titillium Web" w:hAnsi="Titillium Web"/>
          <w:b/>
          <w:bCs/>
          <w:color w:val="333333"/>
          <w:shd w:val="clear" w:color="auto" w:fill="FFFFFF"/>
        </w:rPr>
        <w:t xml:space="preserve"> presentate a partire dal 22 aprile 2023</w:t>
      </w:r>
      <w:r>
        <w:rPr>
          <w:rFonts w:ascii="Titillium Web" w:hAnsi="Titillium Web"/>
          <w:b/>
          <w:bCs/>
          <w:color w:val="333333"/>
          <w:shd w:val="clear" w:color="auto" w:fill="FFFFFF"/>
        </w:rPr>
        <w:t xml:space="preserve"> </w:t>
      </w:r>
      <w:r w:rsidRPr="00370712">
        <w:rPr>
          <w:rFonts w:ascii="Titillium Web" w:hAnsi="Titillium Web"/>
          <w:color w:val="333333"/>
          <w:shd w:val="clear" w:color="auto" w:fill="FFFFFF"/>
        </w:rPr>
        <w:t xml:space="preserve">e relative a spese </w:t>
      </w:r>
      <w:r w:rsidRPr="00716D07">
        <w:rPr>
          <w:rFonts w:ascii="Titillium Web" w:hAnsi="Titillium Web"/>
          <w:color w:val="333333"/>
          <w:shd w:val="clear" w:color="auto" w:fill="FFFFFF"/>
        </w:rPr>
        <w:t xml:space="preserve">sostenute </w:t>
      </w:r>
      <w:r w:rsidRPr="00716D07">
        <w:rPr>
          <w:rFonts w:ascii="Titillium Web" w:hAnsi="Titillium Web"/>
          <w:b/>
          <w:bCs/>
          <w:color w:val="333333"/>
          <w:shd w:val="clear" w:color="auto" w:fill="FFFFFF"/>
        </w:rPr>
        <w:t>prima della determina di concessione</w:t>
      </w:r>
      <w:r>
        <w:rPr>
          <w:rFonts w:ascii="Titillium Web" w:hAnsi="Titillium Web"/>
          <w:b/>
          <w:bCs/>
          <w:color w:val="333333"/>
          <w:shd w:val="clear" w:color="auto" w:fill="FFFFFF"/>
        </w:rPr>
        <w:t xml:space="preserve">, </w:t>
      </w:r>
      <w:r w:rsidRPr="00716D07">
        <w:rPr>
          <w:rFonts w:ascii="Titillium Web" w:hAnsi="Titillium Web"/>
          <w:b/>
          <w:bCs/>
          <w:color w:val="333333"/>
          <w:shd w:val="clear" w:color="auto" w:fill="FFFFFF"/>
        </w:rPr>
        <w:t xml:space="preserve">emesse da fornitori </w:t>
      </w:r>
      <w:r w:rsidRPr="00DB452D">
        <w:rPr>
          <w:rFonts w:ascii="Titillium Web" w:hAnsi="Titillium Web"/>
          <w:b/>
          <w:bCs/>
          <w:color w:val="333333"/>
          <w:u w:val="single"/>
          <w:shd w:val="clear" w:color="auto" w:fill="FFFFFF"/>
        </w:rPr>
        <w:t>esteri</w:t>
      </w:r>
      <w:r w:rsidRPr="00716D07">
        <w:rPr>
          <w:rFonts w:ascii="Titillium Web" w:hAnsi="Titillium Web"/>
          <w:color w:val="333333"/>
          <w:shd w:val="clear" w:color="auto" w:fill="FFFFFF"/>
        </w:rPr>
        <w:t>,</w:t>
      </w:r>
      <w:r>
        <w:rPr>
          <w:rFonts w:ascii="Titillium Web" w:hAnsi="Titillium Web"/>
          <w:color w:val="333333"/>
          <w:shd w:val="clear" w:color="auto" w:fill="FFFFFF"/>
        </w:rPr>
        <w:t xml:space="preserve"> l’impresa dovrà provvedere come segue: </w:t>
      </w:r>
    </w:p>
    <w:p w14:paraId="1E9EFEAB" w14:textId="59BDD51F" w:rsidR="009517D3" w:rsidRPr="009517D3" w:rsidRDefault="0032798F" w:rsidP="009517D3">
      <w:pPr>
        <w:pStyle w:val="Paragrafoelenco"/>
        <w:numPr>
          <w:ilvl w:val="1"/>
          <w:numId w:val="1"/>
        </w:numPr>
        <w:rPr>
          <w:rFonts w:ascii="Titillium Web" w:hAnsi="Titillium Web"/>
          <w:color w:val="333333"/>
          <w:shd w:val="clear" w:color="auto" w:fill="FFFFFF"/>
        </w:rPr>
      </w:pPr>
      <w:r w:rsidRPr="003E123C">
        <w:rPr>
          <w:rFonts w:ascii="Titillium Web" w:hAnsi="Titillium Web"/>
          <w:b/>
          <w:bCs/>
          <w:color w:val="333333"/>
          <w:shd w:val="clear" w:color="auto" w:fill="FFFFFF"/>
        </w:rPr>
        <w:lastRenderedPageBreak/>
        <w:t>Realizzare un’integrazione elettronica da unire alla fattura originale</w:t>
      </w:r>
      <w:r w:rsidRPr="003E123C">
        <w:rPr>
          <w:rFonts w:ascii="Titillium Web" w:hAnsi="Titillium Web"/>
          <w:color w:val="333333"/>
          <w:shd w:val="clear" w:color="auto" w:fill="FFFFFF"/>
        </w:rPr>
        <w:t>, secondo le modalità indicate dalla circolare dell’Agenzia delle entrate n.14/E del 2019</w:t>
      </w:r>
      <w:r>
        <w:rPr>
          <w:rFonts w:ascii="Titillium Web" w:hAnsi="Titillium Web"/>
          <w:color w:val="333333"/>
          <w:shd w:val="clear" w:color="auto" w:fill="FFFFFF"/>
        </w:rPr>
        <w:t xml:space="preserve"> (vedi la sezione </w:t>
      </w:r>
      <w:r w:rsidR="000425B8">
        <w:rPr>
          <w:rFonts w:ascii="Titillium Web" w:hAnsi="Titillium Web"/>
          <w:color w:val="333333"/>
          <w:shd w:val="clear" w:color="auto" w:fill="FFFFFF"/>
        </w:rPr>
        <w:t>“II. Indicazioni operative per l’integrazione elettronica della fattura originale</w:t>
      </w:r>
      <w:r>
        <w:rPr>
          <w:rFonts w:ascii="Titillium Web" w:hAnsi="Titillium Web"/>
          <w:color w:val="333333"/>
          <w:shd w:val="clear" w:color="auto" w:fill="FFFFFF"/>
        </w:rPr>
        <w:t>” di questa pagina)</w:t>
      </w:r>
      <w:r w:rsidRPr="003E123C">
        <w:rPr>
          <w:rFonts w:ascii="Titillium Web" w:hAnsi="Titillium Web"/>
          <w:color w:val="333333"/>
          <w:shd w:val="clear" w:color="auto" w:fill="FFFFFF"/>
        </w:rPr>
        <w:t xml:space="preserve">. </w:t>
      </w:r>
      <w:r w:rsidRPr="00C209C3">
        <w:rPr>
          <w:rFonts w:ascii="Titillium Web" w:hAnsi="Titillium Web"/>
          <w:color w:val="333333"/>
          <w:shd w:val="clear" w:color="auto" w:fill="FFFFFF"/>
        </w:rPr>
        <w:t xml:space="preserve">In fase di rendicontazione, </w:t>
      </w:r>
      <w:r>
        <w:rPr>
          <w:rFonts w:ascii="Titillium Web" w:hAnsi="Titillium Web"/>
          <w:color w:val="333333"/>
          <w:shd w:val="clear" w:color="auto" w:fill="FFFFFF"/>
        </w:rPr>
        <w:t>dovranno</w:t>
      </w:r>
      <w:r w:rsidRPr="00C209C3">
        <w:rPr>
          <w:rFonts w:ascii="Titillium Web" w:hAnsi="Titillium Web"/>
          <w:color w:val="333333"/>
          <w:shd w:val="clear" w:color="auto" w:fill="FFFFFF"/>
        </w:rPr>
        <w:t xml:space="preserve"> essere </w:t>
      </w:r>
      <w:r>
        <w:rPr>
          <w:rFonts w:ascii="Titillium Web" w:hAnsi="Titillium Web"/>
          <w:color w:val="333333"/>
          <w:shd w:val="clear" w:color="auto" w:fill="FFFFFF"/>
        </w:rPr>
        <w:t xml:space="preserve">allegati sia la </w:t>
      </w:r>
      <w:r w:rsidRPr="00C209C3">
        <w:rPr>
          <w:rFonts w:ascii="Titillium Web" w:hAnsi="Titillium Web"/>
          <w:color w:val="333333"/>
          <w:shd w:val="clear" w:color="auto" w:fill="FFFFFF"/>
        </w:rPr>
        <w:t>fattur</w:t>
      </w:r>
      <w:r>
        <w:rPr>
          <w:rFonts w:ascii="Titillium Web" w:hAnsi="Titillium Web"/>
          <w:color w:val="333333"/>
          <w:shd w:val="clear" w:color="auto" w:fill="FFFFFF"/>
        </w:rPr>
        <w:t xml:space="preserve">a originale sia il documento integrativo (autofattura integrativa trasmessa al </w:t>
      </w:r>
      <w:proofErr w:type="spellStart"/>
      <w:r>
        <w:rPr>
          <w:rFonts w:ascii="Titillium Web" w:hAnsi="Titillium Web"/>
          <w:color w:val="333333"/>
          <w:shd w:val="clear" w:color="auto" w:fill="FFFFFF"/>
        </w:rPr>
        <w:t>SdI</w:t>
      </w:r>
      <w:proofErr w:type="spellEnd"/>
      <w:r>
        <w:rPr>
          <w:rFonts w:ascii="Titillium Web" w:hAnsi="Titillium Web"/>
          <w:color w:val="333333"/>
          <w:shd w:val="clear" w:color="auto" w:fill="FFFFFF"/>
        </w:rPr>
        <w:t>)</w:t>
      </w:r>
      <w:r w:rsidRPr="00C209C3">
        <w:rPr>
          <w:rFonts w:ascii="Titillium Web" w:hAnsi="Titillium Web"/>
          <w:color w:val="333333"/>
          <w:shd w:val="clear" w:color="auto" w:fill="FFFFFF"/>
        </w:rPr>
        <w:t>.</w:t>
      </w:r>
    </w:p>
    <w:p w14:paraId="4519FA1E" w14:textId="77777777" w:rsidR="0032798F" w:rsidRDefault="0032798F" w:rsidP="0032798F">
      <w:pPr>
        <w:pStyle w:val="Paragrafoelenco"/>
        <w:rPr>
          <w:rFonts w:ascii="Titillium Web" w:hAnsi="Titillium Web"/>
          <w:color w:val="333333"/>
          <w:shd w:val="clear" w:color="auto" w:fill="FFFFFF"/>
        </w:rPr>
      </w:pPr>
    </w:p>
    <w:p w14:paraId="109D1FA7" w14:textId="77777777" w:rsidR="0032798F" w:rsidRPr="003E123C" w:rsidRDefault="0032798F" w:rsidP="0032798F">
      <w:pPr>
        <w:pStyle w:val="Paragrafoelenco"/>
        <w:numPr>
          <w:ilvl w:val="0"/>
          <w:numId w:val="3"/>
        </w:numPr>
        <w:rPr>
          <w:rFonts w:ascii="Titillium Web" w:hAnsi="Titillium Web"/>
          <w:b/>
          <w:bCs/>
          <w:color w:val="333333"/>
          <w:shd w:val="clear" w:color="auto" w:fill="FFFFFF"/>
        </w:rPr>
      </w:pPr>
      <w:r w:rsidRPr="003E123C">
        <w:rPr>
          <w:rFonts w:ascii="Titillium Web" w:hAnsi="Titillium Web"/>
          <w:b/>
          <w:bCs/>
          <w:color w:val="333333"/>
          <w:shd w:val="clear" w:color="auto" w:fill="FFFFFF"/>
        </w:rPr>
        <w:t>Indicazioni operative per l’integrazione elettronica della fattura originale</w:t>
      </w:r>
      <w:r>
        <w:rPr>
          <w:rFonts w:ascii="Titillium Web" w:hAnsi="Titillium Web"/>
          <w:b/>
          <w:bCs/>
          <w:color w:val="333333"/>
          <w:shd w:val="clear" w:color="auto" w:fill="FFFFFF"/>
        </w:rPr>
        <w:t xml:space="preserve"> (solo per i punti A)</w:t>
      </w:r>
      <w:r w:rsidRPr="003E123C">
        <w:rPr>
          <w:rFonts w:ascii="Titillium Web" w:hAnsi="Titillium Web"/>
          <w:b/>
          <w:bCs/>
          <w:color w:val="333333"/>
          <w:shd w:val="clear" w:color="auto" w:fill="FFFFFF"/>
        </w:rPr>
        <w:t xml:space="preserve"> </w:t>
      </w:r>
    </w:p>
    <w:p w14:paraId="76D3F978" w14:textId="77777777" w:rsidR="0032798F" w:rsidRDefault="0032798F" w:rsidP="0032798F">
      <w:pPr>
        <w:spacing w:after="0" w:line="240" w:lineRule="auto"/>
        <w:ind w:left="360"/>
        <w:jc w:val="both"/>
        <w:rPr>
          <w:rFonts w:ascii="Titillium Web" w:hAnsi="Titillium Web"/>
          <w:color w:val="333333"/>
          <w:shd w:val="clear" w:color="auto" w:fill="FFFFFF"/>
        </w:rPr>
      </w:pPr>
      <w:r w:rsidRPr="00C209C3">
        <w:rPr>
          <w:rFonts w:ascii="Titillium Web" w:hAnsi="Titillium Web"/>
          <w:color w:val="333333"/>
          <w:shd w:val="clear" w:color="auto" w:fill="FFFFFF"/>
        </w:rPr>
        <w:t>L’integrazione elettronica è possibile utilizzando il codice di autofattura/integrazione predisposto dall’Agenzia delle Entrate con “</w:t>
      </w:r>
      <w:r w:rsidRPr="00C1194A">
        <w:rPr>
          <w:rFonts w:ascii="Titillium Web" w:hAnsi="Titillium Web"/>
          <w:b/>
          <w:bCs/>
          <w:color w:val="333333"/>
          <w:shd w:val="clear" w:color="auto" w:fill="FFFFFF"/>
        </w:rPr>
        <w:t>Tipo-Documento</w:t>
      </w:r>
      <w:r w:rsidRPr="00C1194A">
        <w:rPr>
          <w:rFonts w:ascii="Titillium Web" w:hAnsi="Titillium Web"/>
          <w:color w:val="333333"/>
          <w:shd w:val="clear" w:color="auto" w:fill="FFFFFF"/>
        </w:rPr>
        <w:t>” “</w:t>
      </w:r>
      <w:r w:rsidRPr="00C1194A">
        <w:rPr>
          <w:rFonts w:ascii="Titillium Web" w:hAnsi="Titillium Web"/>
          <w:b/>
          <w:bCs/>
          <w:color w:val="333333"/>
          <w:shd w:val="clear" w:color="auto" w:fill="FFFFFF"/>
        </w:rPr>
        <w:t>TD20</w:t>
      </w:r>
      <w:r w:rsidRPr="00C1194A">
        <w:rPr>
          <w:rFonts w:ascii="Titillium Web" w:hAnsi="Titillium Web"/>
          <w:color w:val="333333"/>
          <w:shd w:val="clear" w:color="auto" w:fill="FFFFFF"/>
        </w:rPr>
        <w:t>”</w:t>
      </w:r>
      <w:r>
        <w:rPr>
          <w:rFonts w:ascii="Titillium Web" w:hAnsi="Titillium Web"/>
          <w:color w:val="333333"/>
          <w:shd w:val="clear" w:color="auto" w:fill="FFFFFF"/>
        </w:rPr>
        <w:t xml:space="preserve">: </w:t>
      </w:r>
    </w:p>
    <w:p w14:paraId="3D166C73" w14:textId="77777777" w:rsidR="0032798F" w:rsidRDefault="0032798F" w:rsidP="0032798F">
      <w:pPr>
        <w:spacing w:after="0" w:line="240" w:lineRule="auto"/>
        <w:ind w:left="360"/>
        <w:jc w:val="both"/>
        <w:rPr>
          <w:rFonts w:ascii="Titillium Web" w:hAnsi="Titillium Web"/>
          <w:color w:val="333333"/>
          <w:shd w:val="clear" w:color="auto" w:fill="FFFFFF"/>
        </w:rPr>
      </w:pPr>
    </w:p>
    <w:p w14:paraId="204B5B5C" w14:textId="77777777" w:rsidR="0032798F" w:rsidRDefault="0032798F" w:rsidP="000425B8">
      <w:pPr>
        <w:pStyle w:val="Paragrafoelenco"/>
        <w:numPr>
          <w:ilvl w:val="0"/>
          <w:numId w:val="4"/>
        </w:numPr>
        <w:spacing w:after="0" w:line="240" w:lineRule="auto"/>
        <w:jc w:val="both"/>
        <w:rPr>
          <w:rFonts w:ascii="Titillium Web" w:hAnsi="Titillium Web"/>
          <w:color w:val="333333"/>
          <w:shd w:val="clear" w:color="auto" w:fill="FFFFFF"/>
        </w:rPr>
      </w:pPr>
      <w:r w:rsidRPr="00C209C3">
        <w:rPr>
          <w:rFonts w:ascii="Titillium Web" w:hAnsi="Titillium Web"/>
          <w:color w:val="333333"/>
          <w:shd w:val="clear" w:color="auto" w:fill="FFFFFF"/>
        </w:rPr>
        <w:t>nella sezione “</w:t>
      </w:r>
      <w:r w:rsidRPr="00C209C3">
        <w:rPr>
          <w:rFonts w:ascii="Titillium Web" w:hAnsi="Titillium Web"/>
          <w:i/>
          <w:iCs/>
          <w:color w:val="333333"/>
          <w:shd w:val="clear" w:color="auto" w:fill="FFFFFF"/>
        </w:rPr>
        <w:t>Dati del cedente/prestatore</w:t>
      </w:r>
      <w:r w:rsidRPr="00C209C3">
        <w:rPr>
          <w:rFonts w:ascii="Titillium Web" w:hAnsi="Titillium Web"/>
          <w:color w:val="333333"/>
          <w:shd w:val="clear" w:color="auto" w:fill="FFFFFF"/>
        </w:rPr>
        <w:t>” vanno inseriti quelli relativi al fornitore che avrebbe dovuto emettere la fattura corretta;</w:t>
      </w:r>
    </w:p>
    <w:p w14:paraId="05FC9B43" w14:textId="77777777" w:rsidR="0032798F" w:rsidRDefault="0032798F" w:rsidP="000425B8">
      <w:pPr>
        <w:pStyle w:val="Paragrafoelenco"/>
        <w:numPr>
          <w:ilvl w:val="0"/>
          <w:numId w:val="4"/>
        </w:numPr>
        <w:spacing w:after="0" w:line="240" w:lineRule="auto"/>
        <w:jc w:val="both"/>
        <w:rPr>
          <w:rFonts w:ascii="Titillium Web" w:hAnsi="Titillium Web"/>
          <w:color w:val="333333"/>
          <w:shd w:val="clear" w:color="auto" w:fill="FFFFFF"/>
        </w:rPr>
      </w:pPr>
      <w:r w:rsidRPr="00C209C3">
        <w:rPr>
          <w:rFonts w:ascii="Titillium Web" w:hAnsi="Titillium Web"/>
          <w:color w:val="333333"/>
          <w:shd w:val="clear" w:color="auto" w:fill="FFFFFF"/>
        </w:rPr>
        <w:t>nella sezione “</w:t>
      </w:r>
      <w:r w:rsidRPr="00C209C3">
        <w:rPr>
          <w:rFonts w:ascii="Titillium Web" w:hAnsi="Titillium Web"/>
          <w:i/>
          <w:iCs/>
          <w:color w:val="333333"/>
          <w:shd w:val="clear" w:color="auto" w:fill="FFFFFF"/>
        </w:rPr>
        <w:t>Dati del cessionario/committente</w:t>
      </w:r>
      <w:r w:rsidRPr="00C209C3">
        <w:rPr>
          <w:rFonts w:ascii="Titillium Web" w:hAnsi="Titillium Web"/>
          <w:color w:val="333333"/>
          <w:shd w:val="clear" w:color="auto" w:fill="FFFFFF"/>
        </w:rPr>
        <w:t xml:space="preserve">” vanno inseriti quelli relativi al soggetto che emette e trasmette via </w:t>
      </w:r>
      <w:proofErr w:type="spellStart"/>
      <w:r w:rsidRPr="00C209C3">
        <w:rPr>
          <w:rFonts w:ascii="Titillium Web" w:hAnsi="Titillium Web"/>
          <w:color w:val="333333"/>
          <w:shd w:val="clear" w:color="auto" w:fill="FFFFFF"/>
        </w:rPr>
        <w:t>SdI</w:t>
      </w:r>
      <w:proofErr w:type="spellEnd"/>
      <w:r w:rsidRPr="00C209C3">
        <w:rPr>
          <w:rFonts w:ascii="Titillium Web" w:hAnsi="Titillium Web"/>
          <w:color w:val="333333"/>
          <w:shd w:val="clear" w:color="auto" w:fill="FFFFFF"/>
        </w:rPr>
        <w:t xml:space="preserve"> l’autofattura;</w:t>
      </w:r>
    </w:p>
    <w:p w14:paraId="46DD0DB7" w14:textId="77777777" w:rsidR="0032798F" w:rsidRPr="00C209C3" w:rsidRDefault="0032798F" w:rsidP="000425B8">
      <w:pPr>
        <w:pStyle w:val="Paragrafoelenco"/>
        <w:numPr>
          <w:ilvl w:val="0"/>
          <w:numId w:val="4"/>
        </w:numPr>
        <w:spacing w:after="0" w:line="240" w:lineRule="auto"/>
        <w:jc w:val="both"/>
        <w:rPr>
          <w:rFonts w:ascii="Titillium Web" w:hAnsi="Titillium Web"/>
          <w:color w:val="333333"/>
          <w:shd w:val="clear" w:color="auto" w:fill="FFFFFF"/>
        </w:rPr>
      </w:pPr>
      <w:r w:rsidRPr="00C209C3">
        <w:rPr>
          <w:rFonts w:ascii="Titillium Web" w:hAnsi="Titillium Web"/>
          <w:color w:val="333333"/>
          <w:shd w:val="clear" w:color="auto" w:fill="FFFFFF"/>
        </w:rPr>
        <w:t>nella sezione “</w:t>
      </w:r>
      <w:r w:rsidRPr="00C209C3">
        <w:rPr>
          <w:rFonts w:ascii="Titillium Web" w:hAnsi="Titillium Web"/>
          <w:i/>
          <w:iCs/>
          <w:color w:val="333333"/>
          <w:shd w:val="clear" w:color="auto" w:fill="FFFFFF"/>
        </w:rPr>
        <w:t>Soggetto Emittente</w:t>
      </w:r>
      <w:r w:rsidRPr="00C209C3">
        <w:rPr>
          <w:rFonts w:ascii="Titillium Web" w:hAnsi="Titillium Web"/>
          <w:color w:val="333333"/>
          <w:shd w:val="clear" w:color="auto" w:fill="FFFFFF"/>
        </w:rPr>
        <w:t>” va utilizzato il codice “CC” (cessionario/committente).</w:t>
      </w:r>
    </w:p>
    <w:p w14:paraId="2963FE0C" w14:textId="77777777" w:rsidR="0032798F" w:rsidRDefault="0032798F" w:rsidP="0032798F">
      <w:pPr>
        <w:spacing w:after="0" w:line="240" w:lineRule="auto"/>
        <w:ind w:left="360"/>
        <w:jc w:val="both"/>
        <w:rPr>
          <w:rFonts w:ascii="Titillium Web" w:hAnsi="Titillium Web"/>
          <w:color w:val="333333"/>
          <w:shd w:val="clear" w:color="auto" w:fill="FFFFFF"/>
        </w:rPr>
      </w:pPr>
    </w:p>
    <w:p w14:paraId="7C15E0A8" w14:textId="77777777" w:rsidR="0032798F" w:rsidRDefault="0032798F" w:rsidP="0032798F">
      <w:pPr>
        <w:spacing w:after="0" w:line="240" w:lineRule="auto"/>
        <w:ind w:left="360"/>
        <w:jc w:val="both"/>
        <w:rPr>
          <w:rFonts w:ascii="Titillium Web" w:hAnsi="Titillium Web"/>
          <w:color w:val="333333"/>
          <w:shd w:val="clear" w:color="auto" w:fill="FFFFFF"/>
        </w:rPr>
      </w:pPr>
      <w:r w:rsidRPr="00C209C3">
        <w:rPr>
          <w:rFonts w:ascii="Titillium Web" w:hAnsi="Titillium Web"/>
          <w:color w:val="333333"/>
          <w:shd w:val="clear" w:color="auto" w:fill="FFFFFF"/>
        </w:rPr>
        <w:t xml:space="preserve">Tale documento deve contenere sia i dati necessari per l’integrazione (dicitura bando e Codice CUP) sia gli estremi della fattura </w:t>
      </w:r>
      <w:r>
        <w:rPr>
          <w:rFonts w:ascii="Titillium Web" w:hAnsi="Titillium Web"/>
          <w:color w:val="333333"/>
          <w:shd w:val="clear" w:color="auto" w:fill="FFFFFF"/>
        </w:rPr>
        <w:t>priva di</w:t>
      </w:r>
      <w:r w:rsidRPr="00C209C3">
        <w:rPr>
          <w:rFonts w:ascii="Titillium Web" w:hAnsi="Titillium Web"/>
          <w:color w:val="333333"/>
          <w:shd w:val="clear" w:color="auto" w:fill="FFFFFF"/>
        </w:rPr>
        <w:t xml:space="preserve"> CUP. </w:t>
      </w:r>
    </w:p>
    <w:p w14:paraId="6E58861D" w14:textId="77777777" w:rsidR="0032798F" w:rsidRDefault="0032798F" w:rsidP="0032798F">
      <w:pPr>
        <w:spacing w:after="0" w:line="240" w:lineRule="auto"/>
        <w:ind w:left="360"/>
        <w:jc w:val="both"/>
        <w:rPr>
          <w:rFonts w:ascii="Titillium Web" w:hAnsi="Titillium Web"/>
          <w:color w:val="333333"/>
          <w:shd w:val="clear" w:color="auto" w:fill="FFFFFF"/>
        </w:rPr>
      </w:pPr>
    </w:p>
    <w:p w14:paraId="551DF4C1" w14:textId="77777777" w:rsidR="0032798F" w:rsidRDefault="0032798F" w:rsidP="0032798F">
      <w:pPr>
        <w:spacing w:after="0" w:line="240" w:lineRule="auto"/>
        <w:ind w:left="360"/>
        <w:jc w:val="both"/>
        <w:rPr>
          <w:rFonts w:ascii="Titillium Web" w:hAnsi="Titillium Web"/>
          <w:color w:val="333333"/>
          <w:shd w:val="clear" w:color="auto" w:fill="FFFFFF"/>
        </w:rPr>
      </w:pPr>
      <w:r>
        <w:rPr>
          <w:rFonts w:ascii="Titillium Web" w:hAnsi="Titillium Web"/>
          <w:color w:val="333333"/>
          <w:shd w:val="clear" w:color="auto" w:fill="FFFFFF"/>
        </w:rPr>
        <w:t xml:space="preserve">N.B. Si fa presente che l’integrazione elettronica della fattura originale </w:t>
      </w:r>
      <w:r w:rsidRPr="00DB452D">
        <w:rPr>
          <w:rFonts w:ascii="Titillium Web" w:hAnsi="Titillium Web"/>
          <w:color w:val="333333"/>
          <w:u w:val="single"/>
          <w:shd w:val="clear" w:color="auto" w:fill="FFFFFF"/>
        </w:rPr>
        <w:t>non</w:t>
      </w:r>
      <w:r>
        <w:rPr>
          <w:rFonts w:ascii="Titillium Web" w:hAnsi="Titillium Web"/>
          <w:color w:val="333333"/>
          <w:shd w:val="clear" w:color="auto" w:fill="FFFFFF"/>
        </w:rPr>
        <w:t xml:space="preserve"> è una regolarizzazione della fattura a fini fiscali e contabili, ma una semplice integrazione che in quanto tale non altera i dati della fattura originale e non produce alcuna conseguenza sugli adempimenti fiscali.  </w:t>
      </w:r>
    </w:p>
    <w:p w14:paraId="0FAC1B5C" w14:textId="77777777" w:rsidR="000425B8" w:rsidRDefault="000425B8" w:rsidP="0032798F">
      <w:pPr>
        <w:spacing w:after="0" w:line="240" w:lineRule="auto"/>
        <w:ind w:left="360"/>
        <w:jc w:val="both"/>
        <w:rPr>
          <w:rFonts w:ascii="Titillium Web" w:hAnsi="Titillium Web"/>
          <w:color w:val="333333"/>
          <w:shd w:val="clear" w:color="auto" w:fill="FFFFFF"/>
        </w:rPr>
      </w:pPr>
    </w:p>
    <w:p w14:paraId="031B7686" w14:textId="605DF4F3" w:rsidR="000D2DAD" w:rsidRDefault="000425B8" w:rsidP="000425B8">
      <w:pPr>
        <w:jc w:val="both"/>
      </w:pPr>
      <w:r>
        <w:rPr>
          <w:rFonts w:ascii="Titillium Web" w:hAnsi="Titillium Web"/>
          <w:color w:val="333333"/>
          <w:shd w:val="clear" w:color="auto" w:fill="FFFFFF"/>
        </w:rPr>
        <w:t xml:space="preserve"> </w:t>
      </w:r>
      <w:bookmarkEnd w:id="0"/>
    </w:p>
    <w:sectPr w:rsidR="000D2DAD" w:rsidSect="003279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D5080"/>
    <w:multiLevelType w:val="hybridMultilevel"/>
    <w:tmpl w:val="94AC1C3A"/>
    <w:lvl w:ilvl="0" w:tplc="0410000F">
      <w:start w:val="1"/>
      <w:numFmt w:val="decimal"/>
      <w:lvlText w:val="%1."/>
      <w:lvlJc w:val="left"/>
      <w:pPr>
        <w:ind w:left="720" w:hanging="360"/>
      </w:pPr>
      <w:rPr>
        <w:rFonts w:hint="default"/>
      </w:rPr>
    </w:lvl>
    <w:lvl w:ilvl="1" w:tplc="04100015">
      <w:start w:val="1"/>
      <w:numFmt w:val="upperLetter"/>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721587"/>
    <w:multiLevelType w:val="hybridMultilevel"/>
    <w:tmpl w:val="DAEAC018"/>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F3A2C12"/>
    <w:multiLevelType w:val="hybridMultilevel"/>
    <w:tmpl w:val="BBCAAF74"/>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7FC86D81"/>
    <w:multiLevelType w:val="hybridMultilevel"/>
    <w:tmpl w:val="526433A6"/>
    <w:lvl w:ilvl="0" w:tplc="04100001">
      <w:start w:val="1"/>
      <w:numFmt w:val="bullet"/>
      <w:lvlText w:val=""/>
      <w:lvlJc w:val="left"/>
      <w:pPr>
        <w:ind w:left="720" w:hanging="360"/>
      </w:pPr>
      <w:rPr>
        <w:rFonts w:ascii="Symbol" w:hAnsi="Symbol" w:hint="default"/>
      </w:rPr>
    </w:lvl>
    <w:lvl w:ilvl="1" w:tplc="FFFFFFFF">
      <w:start w:val="1"/>
      <w:numFmt w:val="upp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8255042">
    <w:abstractNumId w:val="0"/>
  </w:num>
  <w:num w:numId="2" w16cid:durableId="1332610863">
    <w:abstractNumId w:val="2"/>
  </w:num>
  <w:num w:numId="3" w16cid:durableId="1369599160">
    <w:abstractNumId w:val="1"/>
  </w:num>
  <w:num w:numId="4" w16cid:durableId="1156190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8F"/>
    <w:rsid w:val="000425B8"/>
    <w:rsid w:val="000D2DAD"/>
    <w:rsid w:val="00262D3A"/>
    <w:rsid w:val="0032798F"/>
    <w:rsid w:val="004037AA"/>
    <w:rsid w:val="00674347"/>
    <w:rsid w:val="007B1D73"/>
    <w:rsid w:val="008811AA"/>
    <w:rsid w:val="008E1E2E"/>
    <w:rsid w:val="008F36AC"/>
    <w:rsid w:val="009517D3"/>
    <w:rsid w:val="00C926E7"/>
    <w:rsid w:val="00E81E7A"/>
    <w:rsid w:val="00ED59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81D6"/>
  <w15:chartTrackingRefBased/>
  <w15:docId w15:val="{DF7BA448-E2F1-4A5B-95D2-6FE572E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798F"/>
  </w:style>
  <w:style w:type="paragraph" w:styleId="Titolo1">
    <w:name w:val="heading 1"/>
    <w:basedOn w:val="Normale"/>
    <w:next w:val="Normale"/>
    <w:link w:val="Titolo1Carattere"/>
    <w:uiPriority w:val="9"/>
    <w:qFormat/>
    <w:rsid w:val="00327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27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279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279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279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279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279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279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279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79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279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279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279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279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279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279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279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279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27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279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279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279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279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2798F"/>
    <w:rPr>
      <w:i/>
      <w:iCs/>
      <w:color w:val="404040" w:themeColor="text1" w:themeTint="BF"/>
    </w:rPr>
  </w:style>
  <w:style w:type="paragraph" w:styleId="Paragrafoelenco">
    <w:name w:val="List Paragraph"/>
    <w:basedOn w:val="Normale"/>
    <w:uiPriority w:val="34"/>
    <w:qFormat/>
    <w:rsid w:val="0032798F"/>
    <w:pPr>
      <w:ind w:left="720"/>
      <w:contextualSpacing/>
    </w:pPr>
  </w:style>
  <w:style w:type="character" w:styleId="Enfasiintensa">
    <w:name w:val="Intense Emphasis"/>
    <w:basedOn w:val="Carpredefinitoparagrafo"/>
    <w:uiPriority w:val="21"/>
    <w:qFormat/>
    <w:rsid w:val="0032798F"/>
    <w:rPr>
      <w:i/>
      <w:iCs/>
      <w:color w:val="0F4761" w:themeColor="accent1" w:themeShade="BF"/>
    </w:rPr>
  </w:style>
  <w:style w:type="paragraph" w:styleId="Citazioneintensa">
    <w:name w:val="Intense Quote"/>
    <w:basedOn w:val="Normale"/>
    <w:next w:val="Normale"/>
    <w:link w:val="CitazioneintensaCarattere"/>
    <w:uiPriority w:val="30"/>
    <w:qFormat/>
    <w:rsid w:val="00327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2798F"/>
    <w:rPr>
      <w:i/>
      <w:iCs/>
      <w:color w:val="0F4761" w:themeColor="accent1" w:themeShade="BF"/>
    </w:rPr>
  </w:style>
  <w:style w:type="character" w:styleId="Riferimentointenso">
    <w:name w:val="Intense Reference"/>
    <w:basedOn w:val="Carpredefinitoparagrafo"/>
    <w:uiPriority w:val="32"/>
    <w:qFormat/>
    <w:rsid w:val="0032798F"/>
    <w:rPr>
      <w:b/>
      <w:bCs/>
      <w:smallCaps/>
      <w:color w:val="0F4761" w:themeColor="accent1" w:themeShade="BF"/>
      <w:spacing w:val="5"/>
    </w:rPr>
  </w:style>
  <w:style w:type="table" w:styleId="Grigliatabella">
    <w:name w:val="Table Grid"/>
    <w:basedOn w:val="Tabellanormale"/>
    <w:uiPriority w:val="39"/>
    <w:rsid w:val="00951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5444F39792C343854524DDCC3B1EA9" ma:contentTypeVersion="3" ma:contentTypeDescription="Creare un nuovo documento." ma:contentTypeScope="" ma:versionID="52ad036a8c7be56ce8bae72f53fbc09f">
  <xsd:schema xmlns:xsd="http://www.w3.org/2001/XMLSchema" xmlns:xs="http://www.w3.org/2001/XMLSchema" xmlns:p="http://schemas.microsoft.com/office/2006/metadata/properties" xmlns:ns3="d0b5ee72-5e34-427c-8932-53a404fa545e" targetNamespace="http://schemas.microsoft.com/office/2006/metadata/properties" ma:root="true" ma:fieldsID="d907e54df7ed4e0887673ebf7987ca8b" ns3:_="">
    <xsd:import namespace="d0b5ee72-5e34-427c-8932-53a404fa54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5ee72-5e34-427c-8932-53a404fa5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EA58E-54E8-4BDC-807A-43E68C647939}">
  <ds:schemaRefs>
    <ds:schemaRef ds:uri="http://schemas.microsoft.com/sharepoint/v3/contenttype/forms"/>
  </ds:schemaRefs>
</ds:datastoreItem>
</file>

<file path=customXml/itemProps2.xml><?xml version="1.0" encoding="utf-8"?>
<ds:datastoreItem xmlns:ds="http://schemas.openxmlformats.org/officeDocument/2006/customXml" ds:itemID="{3EAE41C9-35D5-40F9-8354-BAD75B7D5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AD4925-7D3F-4446-AB22-74E07976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5ee72-5e34-427c-8932-53a404fa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568</Words>
  <Characters>3243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Bianchi</dc:creator>
  <cp:keywords/>
  <dc:description/>
  <cp:lastModifiedBy>Giorgio Oggioni</cp:lastModifiedBy>
  <cp:revision>4</cp:revision>
  <dcterms:created xsi:type="dcterms:W3CDTF">2024-12-20T14:00:00Z</dcterms:created>
  <dcterms:modified xsi:type="dcterms:W3CDTF">2024-12-20T14:15:00Z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0x010100655444F39792C343854524DDCC3B1EA9</vt:lpwstr>
  </property>
</Properties>
</file>